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08A4B1DB" w:rsidR="00E90E49" w:rsidRPr="00F47738" w:rsidRDefault="00AE2834" w:rsidP="00E35559">
      <w:pPr>
        <w:pStyle w:val="3GPPHeader"/>
        <w:spacing w:after="60"/>
        <w:rPr>
          <w:sz w:val="32"/>
          <w:szCs w:val="32"/>
        </w:rPr>
      </w:pPr>
      <w:r w:rsidRPr="00F47738">
        <w:rPr>
          <w:lang w:val="en-US"/>
        </w:rPr>
        <w:t>3GPP TSG-RAN WG1 Meeting #88</w:t>
      </w:r>
      <w:r w:rsidR="002C5BA4" w:rsidRPr="00F47738">
        <w:rPr>
          <w:lang w:val="en-US"/>
        </w:rPr>
        <w:t>bis</w:t>
      </w:r>
      <w:r w:rsidR="00E90E49" w:rsidRPr="00F47738">
        <w:tab/>
      </w:r>
      <w:r w:rsidR="00091557" w:rsidRPr="00F47738">
        <w:rPr>
          <w:sz w:val="32"/>
          <w:szCs w:val="32"/>
        </w:rPr>
        <w:t>R</w:t>
      </w:r>
      <w:r w:rsidRPr="00F47738">
        <w:rPr>
          <w:sz w:val="32"/>
          <w:szCs w:val="32"/>
        </w:rPr>
        <w:t>1</w:t>
      </w:r>
      <w:r w:rsidR="00091557" w:rsidRPr="00F47738">
        <w:rPr>
          <w:sz w:val="32"/>
          <w:szCs w:val="32"/>
        </w:rPr>
        <w:t>-</w:t>
      </w:r>
      <w:r w:rsidR="005F3025" w:rsidRPr="00F47738">
        <w:rPr>
          <w:sz w:val="32"/>
          <w:szCs w:val="32"/>
        </w:rPr>
        <w:t>1</w:t>
      </w:r>
      <w:r w:rsidRPr="00F47738">
        <w:rPr>
          <w:sz w:val="32"/>
          <w:szCs w:val="32"/>
        </w:rPr>
        <w:t>70</w:t>
      </w:r>
      <w:r w:rsidR="00F47738" w:rsidRPr="00F47738">
        <w:rPr>
          <w:sz w:val="32"/>
          <w:szCs w:val="32"/>
        </w:rPr>
        <w:t>5194</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51EBFD90" w:rsidR="00E90E49" w:rsidRPr="005D71CB" w:rsidRDefault="00E90E49" w:rsidP="00311702">
      <w:pPr>
        <w:pStyle w:val="3GPPHeader"/>
        <w:rPr>
          <w:sz w:val="22"/>
          <w:szCs w:val="22"/>
          <w:lang w:val="en-US"/>
        </w:rPr>
      </w:pPr>
      <w:r w:rsidRPr="005D71CB">
        <w:rPr>
          <w:sz w:val="22"/>
          <w:szCs w:val="22"/>
          <w:lang w:val="en-US"/>
        </w:rPr>
        <w:t>Agenda Item:</w:t>
      </w:r>
      <w:r w:rsidRPr="005D71CB">
        <w:rPr>
          <w:sz w:val="22"/>
          <w:szCs w:val="22"/>
          <w:lang w:val="en-US"/>
        </w:rPr>
        <w:tab/>
      </w:r>
      <w:r w:rsidR="005D71CB">
        <w:rPr>
          <w:sz w:val="22"/>
          <w:szCs w:val="22"/>
          <w:lang w:val="en-US"/>
        </w:rPr>
        <w:t>7.2.6.4</w:t>
      </w:r>
    </w:p>
    <w:p w14:paraId="684B06A7" w14:textId="77777777" w:rsidR="00E90E49" w:rsidRPr="00724D3B" w:rsidRDefault="003D3C45" w:rsidP="00F64C2B">
      <w:pPr>
        <w:pStyle w:val="3GPPHeader"/>
        <w:rPr>
          <w:sz w:val="22"/>
          <w:szCs w:val="22"/>
        </w:rPr>
      </w:pPr>
      <w:r w:rsidRPr="00724D3B">
        <w:rPr>
          <w:sz w:val="22"/>
          <w:szCs w:val="22"/>
        </w:rPr>
        <w:t>Source:</w:t>
      </w:r>
      <w:r w:rsidR="00E90E49" w:rsidRPr="00724D3B">
        <w:rPr>
          <w:sz w:val="22"/>
          <w:szCs w:val="22"/>
        </w:rPr>
        <w:tab/>
      </w:r>
      <w:r w:rsidR="00F64C2B" w:rsidRPr="00724D3B">
        <w:rPr>
          <w:sz w:val="22"/>
          <w:szCs w:val="22"/>
        </w:rPr>
        <w:t>Ericsson</w:t>
      </w:r>
    </w:p>
    <w:p w14:paraId="214B1E52" w14:textId="50684309" w:rsidR="00E90E49" w:rsidRPr="00724D3B" w:rsidRDefault="003D3C45" w:rsidP="00547F4D">
      <w:pPr>
        <w:pStyle w:val="3GPPHeader"/>
        <w:ind w:left="1701" w:hanging="1701"/>
        <w:rPr>
          <w:sz w:val="22"/>
          <w:szCs w:val="22"/>
        </w:rPr>
      </w:pPr>
      <w:r w:rsidRPr="00724D3B">
        <w:rPr>
          <w:sz w:val="22"/>
          <w:szCs w:val="22"/>
        </w:rPr>
        <w:t>Title:</w:t>
      </w:r>
      <w:r w:rsidR="006B5B0F" w:rsidRPr="00724D3B">
        <w:rPr>
          <w:sz w:val="22"/>
          <w:szCs w:val="22"/>
        </w:rPr>
        <w:tab/>
      </w:r>
      <w:r w:rsidR="005D71CB" w:rsidRPr="005D71CB">
        <w:rPr>
          <w:sz w:val="22"/>
          <w:szCs w:val="22"/>
        </w:rPr>
        <w:t>Fr</w:t>
      </w:r>
      <w:bookmarkStart w:id="0" w:name="_GoBack"/>
      <w:bookmarkEnd w:id="0"/>
      <w:r w:rsidR="005D71CB" w:rsidRPr="005D71CB">
        <w:rPr>
          <w:sz w:val="22"/>
          <w:szCs w:val="22"/>
        </w:rPr>
        <w:t>equency domain CRS muting for MTC</w:t>
      </w:r>
    </w:p>
    <w:p w14:paraId="59D6E79C" w14:textId="680F21AB" w:rsidR="00E90E49" w:rsidRPr="00CE0424" w:rsidRDefault="00E90E49" w:rsidP="00D546FF">
      <w:pPr>
        <w:pStyle w:val="3GPPHeader"/>
        <w:rPr>
          <w:sz w:val="22"/>
          <w:szCs w:val="22"/>
        </w:rPr>
      </w:pPr>
      <w:r w:rsidRPr="00724D3B">
        <w:rPr>
          <w:sz w:val="22"/>
          <w:szCs w:val="22"/>
        </w:rPr>
        <w:t>Document for:</w:t>
      </w:r>
      <w:r w:rsidRPr="00724D3B">
        <w:rPr>
          <w:sz w:val="22"/>
          <w:szCs w:val="22"/>
        </w:rPr>
        <w:tab/>
        <w:t>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560764D0" w:rsidR="00477768" w:rsidRDefault="00B868CA" w:rsidP="00CE0424">
      <w:pPr>
        <w:pStyle w:val="BodyText"/>
      </w:pPr>
      <w:r>
        <w:t xml:space="preserve">The Rel-15 WI on “Even further enhanced MTC for LTE” </w:t>
      </w:r>
      <w:r>
        <w:fldChar w:fldCharType="begin"/>
      </w:r>
      <w:r>
        <w:instrText xml:space="preserve"> REF _Ref174151459 \r \h </w:instrText>
      </w:r>
      <w:r>
        <w:fldChar w:fldCharType="separate"/>
      </w:r>
      <w:r w:rsidR="006E03E4">
        <w:t>[1]</w:t>
      </w:r>
      <w:r>
        <w:fldChar w:fldCharType="end"/>
      </w:r>
      <w:r>
        <w:t xml:space="preserve"> has the following WI objective for </w:t>
      </w:r>
      <w:r w:rsidR="006160F1">
        <w:t>machine-type communications for BL/CE UEs:</w:t>
      </w:r>
    </w:p>
    <w:p w14:paraId="74BB05EB" w14:textId="77777777" w:rsidR="005D71CB" w:rsidRPr="0015618C" w:rsidRDefault="005D71CB" w:rsidP="005D71CB">
      <w:pPr>
        <w:numPr>
          <w:ilvl w:val="0"/>
          <w:numId w:val="17"/>
        </w:numPr>
        <w:spacing w:after="180"/>
        <w:ind w:right="-99"/>
        <w:jc w:val="left"/>
        <w:rPr>
          <w:rFonts w:eastAsia="SimSun"/>
          <w:lang w:val="en-US" w:eastAsia="ja-JP"/>
        </w:rPr>
      </w:pPr>
      <w:r w:rsidRPr="0015618C">
        <w:rPr>
          <w:rFonts w:eastAsia="SimSun"/>
          <w:lang w:val="en-US" w:eastAsia="ja-JP"/>
        </w:rPr>
        <w:t xml:space="preserve">Introduce capability signaling for support for CRS muting outside BL UE narrowband/wideband </w:t>
      </w:r>
      <w:r w:rsidRPr="0015618C">
        <w:rPr>
          <w:rFonts w:eastAsia="SimSun"/>
          <w:color w:val="808080"/>
          <w:lang w:val="en-US" w:eastAsia="ja-JP"/>
        </w:rPr>
        <w:t>[RAN1 lead, RAN2, RAN4]</w:t>
      </w:r>
    </w:p>
    <w:p w14:paraId="45DF0E58" w14:textId="77777777" w:rsidR="005D71CB" w:rsidRPr="00F5218C" w:rsidRDefault="005D71CB" w:rsidP="005D71CB">
      <w:pPr>
        <w:numPr>
          <w:ilvl w:val="1"/>
          <w:numId w:val="17"/>
        </w:numPr>
        <w:spacing w:after="180"/>
        <w:ind w:right="-99"/>
        <w:jc w:val="left"/>
        <w:rPr>
          <w:rFonts w:eastAsia="SimSun"/>
          <w:lang w:val="en-US" w:eastAsia="ja-JP"/>
        </w:rPr>
      </w:pPr>
      <w:r w:rsidRPr="00F5218C">
        <w:rPr>
          <w:rFonts w:eastAsia="SimSun"/>
          <w:lang w:val="en-US" w:eastAsia="ja-JP"/>
        </w:rPr>
        <w:t>Enable BL UE to optionally indicate that it does not rely on CRS outside its narrowband/wideband +</w:t>
      </w:r>
      <w:r>
        <w:rPr>
          <w:rFonts w:eastAsia="SimSun"/>
          <w:lang w:val="en-US" w:eastAsia="ja-JP"/>
        </w:rPr>
        <w:t xml:space="preserve">/- </w:t>
      </w:r>
      <w:r w:rsidRPr="00F5218C">
        <w:rPr>
          <w:rFonts w:eastAsia="SimSun"/>
          <w:i/>
          <w:lang w:val="en-US" w:eastAsia="ja-JP"/>
        </w:rPr>
        <w:t>X</w:t>
      </w:r>
      <w:r w:rsidRPr="00F5218C">
        <w:rPr>
          <w:rFonts w:eastAsia="SimSun"/>
          <w:lang w:val="en-US" w:eastAsia="ja-JP"/>
        </w:rPr>
        <w:t xml:space="preserve"> PRBs, where </w:t>
      </w:r>
      <w:r w:rsidRPr="00F5218C">
        <w:rPr>
          <w:rFonts w:eastAsia="SimSun"/>
          <w:i/>
          <w:lang w:val="en-US" w:eastAsia="ja-JP"/>
        </w:rPr>
        <w:t>X</w:t>
      </w:r>
      <w:r w:rsidRPr="00F5218C">
        <w:rPr>
          <w:rFonts w:eastAsia="SimSun"/>
          <w:lang w:val="en-US" w:eastAsia="ja-JP"/>
        </w:rPr>
        <w:t xml:space="preserve"> is determined by RAN1 and RAN4.</w:t>
      </w:r>
    </w:p>
    <w:p w14:paraId="0252F0F7" w14:textId="73DB8CAE" w:rsidR="00486972" w:rsidRPr="00F5218C" w:rsidRDefault="00486972" w:rsidP="00486972">
      <w:pPr>
        <w:spacing w:after="180"/>
        <w:ind w:right="-99"/>
        <w:jc w:val="left"/>
        <w:rPr>
          <w:lang w:val="en-US" w:eastAsia="ja-JP"/>
        </w:rPr>
      </w:pPr>
      <w:r>
        <w:t>In this contribution we present our initial views on this objective.</w:t>
      </w:r>
    </w:p>
    <w:p w14:paraId="5925009D" w14:textId="048AA7AE" w:rsidR="004000E8" w:rsidRDefault="004000E8" w:rsidP="00CE0424">
      <w:pPr>
        <w:pStyle w:val="Heading1"/>
      </w:pPr>
      <w:bookmarkStart w:id="1" w:name="_Ref178064866"/>
      <w:r w:rsidRPr="00CE0424">
        <w:t>Discussion</w:t>
      </w:r>
      <w:bookmarkEnd w:id="1"/>
    </w:p>
    <w:p w14:paraId="40C992CA" w14:textId="7EDB1E61" w:rsidR="00782C75" w:rsidRDefault="004D3054" w:rsidP="00C1254D">
      <w:pPr>
        <w:pStyle w:val="BodyText"/>
      </w:pPr>
      <w:r>
        <w:t>In LTE networks, minimizing the inter-cell interference can help increase the chances that downlink higher order modulation (64QAM, 256QAM)</w:t>
      </w:r>
      <w:r w:rsidR="00C154D7">
        <w:t xml:space="preserve"> can be utilized to increase the downlink throughput for users experiencing good coverage conditions.</w:t>
      </w:r>
      <w:r w:rsidR="00782C75">
        <w:t xml:space="preserve"> </w:t>
      </w:r>
      <w:r w:rsidR="00C154D7" w:rsidRPr="005403A8">
        <w:rPr>
          <w:i/>
        </w:rPr>
        <w:t>Time domain CRS muting</w:t>
      </w:r>
      <w:r w:rsidR="00C154D7">
        <w:t xml:space="preserve">, where an eNB mutes CRS transmissions </w:t>
      </w:r>
      <w:r w:rsidR="00BA34DB">
        <w:t>that are</w:t>
      </w:r>
      <w:r w:rsidR="00C154D7">
        <w:t xml:space="preserve"> not needed by any UE, has been shown to improve downlink throughput and reduce connection drop rate</w:t>
      </w:r>
      <w:r w:rsidR="00A1650C">
        <w:t xml:space="preserve"> </w:t>
      </w:r>
      <w:r w:rsidR="00A1650C">
        <w:fldChar w:fldCharType="begin"/>
      </w:r>
      <w:r w:rsidR="00A1650C">
        <w:instrText xml:space="preserve"> REF _Ref477881096 \r \h </w:instrText>
      </w:r>
      <w:r w:rsidR="00A1650C">
        <w:fldChar w:fldCharType="separate"/>
      </w:r>
      <w:r w:rsidR="006E03E4">
        <w:t>[2]</w:t>
      </w:r>
      <w:r w:rsidR="00A1650C">
        <w:fldChar w:fldCharType="end"/>
      </w:r>
      <w:r w:rsidR="00A1650C">
        <w:fldChar w:fldCharType="begin"/>
      </w:r>
      <w:r w:rsidR="00A1650C">
        <w:instrText xml:space="preserve"> REF _Ref477881098 \r \h </w:instrText>
      </w:r>
      <w:r w:rsidR="00A1650C">
        <w:fldChar w:fldCharType="separate"/>
      </w:r>
      <w:r w:rsidR="006E03E4">
        <w:t>[3]</w:t>
      </w:r>
      <w:r w:rsidR="00A1650C">
        <w:fldChar w:fldCharType="end"/>
      </w:r>
      <w:r w:rsidR="00A1650C">
        <w:fldChar w:fldCharType="begin"/>
      </w:r>
      <w:r w:rsidR="00A1650C">
        <w:instrText xml:space="preserve"> REF _Ref477881099 \r \h </w:instrText>
      </w:r>
      <w:r w:rsidR="00A1650C">
        <w:fldChar w:fldCharType="separate"/>
      </w:r>
      <w:r w:rsidR="006E03E4">
        <w:t>[4]</w:t>
      </w:r>
      <w:r w:rsidR="00A1650C">
        <w:fldChar w:fldCharType="end"/>
      </w:r>
      <w:r w:rsidR="00C154D7">
        <w:t>.</w:t>
      </w:r>
      <w:r w:rsidR="00782C75">
        <w:t xml:space="preserve"> </w:t>
      </w:r>
      <w:r w:rsidR="00A1650C">
        <w:t xml:space="preserve">For </w:t>
      </w:r>
      <w:r w:rsidR="005403A8">
        <w:t>BL</w:t>
      </w:r>
      <w:r w:rsidR="00A1650C">
        <w:t xml:space="preserve"> UEs, </w:t>
      </w:r>
      <w:r w:rsidR="005403A8">
        <w:t xml:space="preserve">additional </w:t>
      </w:r>
      <w:r w:rsidR="005403A8" w:rsidRPr="005403A8">
        <w:rPr>
          <w:i/>
        </w:rPr>
        <w:t>frequency domain</w:t>
      </w:r>
      <w:r w:rsidR="00A1650C" w:rsidRPr="005403A8">
        <w:rPr>
          <w:i/>
        </w:rPr>
        <w:t xml:space="preserve"> CRS muting</w:t>
      </w:r>
      <w:r w:rsidR="00A1650C">
        <w:t xml:space="preserve"> is possible if eNB can assume that the UE does not rely on CRS outside its narrowband</w:t>
      </w:r>
      <w:r w:rsidR="005403A8">
        <w:t xml:space="preserve"> (for Cat-M1) or wideband (for Cat-M2).</w:t>
      </w:r>
    </w:p>
    <w:p w14:paraId="374E2C56" w14:textId="42919D52" w:rsidR="005730DC" w:rsidRDefault="005403A8" w:rsidP="00C1254D">
      <w:pPr>
        <w:pStyle w:val="BodyText"/>
      </w:pPr>
      <w:r>
        <w:t>According to the WID, RAN1 and RAN4 should determine to what extent a margin</w:t>
      </w:r>
      <w:r w:rsidR="00782C75">
        <w:t xml:space="preserve"> of </w:t>
      </w:r>
      <w:r w:rsidR="00782C75" w:rsidRPr="00782C75">
        <w:rPr>
          <w:i/>
        </w:rPr>
        <w:t>X</w:t>
      </w:r>
      <w:r w:rsidR="00782C75">
        <w:t xml:space="preserve"> PRBs</w:t>
      </w:r>
      <w:r>
        <w:t xml:space="preserve"> outside the actua</w:t>
      </w:r>
      <w:r w:rsidR="00782C75">
        <w:t>l allocated narrowband/wideband is necessary.</w:t>
      </w:r>
      <w:r w:rsidR="005730DC">
        <w:t xml:space="preserve"> In our view the following assumptions are reasonable:</w:t>
      </w:r>
    </w:p>
    <w:p w14:paraId="493EEB42" w14:textId="02CF7049" w:rsidR="005730DC" w:rsidRDefault="005730DC" w:rsidP="005730DC">
      <w:pPr>
        <w:pStyle w:val="BodyText"/>
        <w:numPr>
          <w:ilvl w:val="0"/>
          <w:numId w:val="17"/>
        </w:numPr>
      </w:pPr>
      <w:r>
        <w:t>CRS is not muted in the PSS/SSS/PBCH region in the central 72 subcarriers in the system bandwidth.</w:t>
      </w:r>
    </w:p>
    <w:p w14:paraId="3C485686" w14:textId="7CDADBF5" w:rsidR="005730DC" w:rsidRDefault="005730DC" w:rsidP="005730DC">
      <w:pPr>
        <w:pStyle w:val="BodyText"/>
        <w:numPr>
          <w:ilvl w:val="0"/>
          <w:numId w:val="17"/>
        </w:numPr>
      </w:pPr>
      <w:r>
        <w:t>CRS is not muted where MPDCCH or PDSCH (</w:t>
      </w:r>
      <w:r w:rsidR="007A6E5E">
        <w:t>for</w:t>
      </w:r>
      <w:r>
        <w:t xml:space="preserve"> e.g. system information, paging messages, ran</w:t>
      </w:r>
      <w:r w:rsidR="007A6E5E">
        <w:t xml:space="preserve">dom access related messages or </w:t>
      </w:r>
      <w:r>
        <w:t>unicast transmission) is transmitted.</w:t>
      </w:r>
    </w:p>
    <w:p w14:paraId="1858A25B" w14:textId="40FE91F3" w:rsidR="005730DC" w:rsidRDefault="005730DC" w:rsidP="005730DC">
      <w:pPr>
        <w:pStyle w:val="BodyText"/>
        <w:numPr>
          <w:ilvl w:val="0"/>
          <w:numId w:val="17"/>
        </w:numPr>
      </w:pPr>
      <w:r>
        <w:t>CRS is not muted where the U</w:t>
      </w:r>
      <w:r w:rsidR="007A6E5E">
        <w:t>E is expected to monitor MPDCCH (for e.g. paging messages, random access related messages or unicast transmission) but may be muted during DRX.</w:t>
      </w:r>
    </w:p>
    <w:p w14:paraId="44ABD215" w14:textId="39C1A51C" w:rsidR="00782C75" w:rsidRDefault="007A6E5E" w:rsidP="00C1254D">
      <w:pPr>
        <w:pStyle w:val="BodyText"/>
      </w:pPr>
      <w:r>
        <w:t>Under these assumptions, it is our understanding that from</w:t>
      </w:r>
      <w:r w:rsidR="00782C75">
        <w:t xml:space="preserve"> RAN1 point of view there is nothing requiring a margin outside the </w:t>
      </w:r>
      <w:r>
        <w:t xml:space="preserve">monitored </w:t>
      </w:r>
      <w:r w:rsidR="00782C75">
        <w:t xml:space="preserve">6-PRB narrowband for </w:t>
      </w:r>
      <w:r>
        <w:t>a Cat-M1 UE</w:t>
      </w:r>
      <w:r w:rsidR="00782C75">
        <w:t xml:space="preserve">. For </w:t>
      </w:r>
      <w:r>
        <w:t>a Cat-M2 UE</w:t>
      </w:r>
      <w:r w:rsidR="00A32324">
        <w:t xml:space="preserve">, a wideband definition of 25 PRBs rather than 24 PRBs should be considered e.g. in the case when the UE bandwidth spans the center PRB in system bandwidths with an odd total number of PRBs (i.e. </w:t>
      </w:r>
      <w:r w:rsidR="00C40CC7">
        <w:t>3, 5</w:t>
      </w:r>
      <w:r w:rsidR="00A32324">
        <w:t xml:space="preserve"> and 15 MHz).</w:t>
      </w:r>
    </w:p>
    <w:p w14:paraId="5A272D4E" w14:textId="77777777" w:rsidR="00782C75" w:rsidRDefault="00782C75" w:rsidP="00C1254D">
      <w:pPr>
        <w:pStyle w:val="BodyText"/>
      </w:pPr>
    </w:p>
    <w:p w14:paraId="0C9469D8" w14:textId="055B451A" w:rsidR="00E04C06" w:rsidRDefault="00E04C06" w:rsidP="00E04C06">
      <w:pPr>
        <w:pStyle w:val="Proposal"/>
      </w:pPr>
      <w:bookmarkStart w:id="2" w:name="_Toc477882474"/>
      <w:bookmarkStart w:id="3" w:name="_Toc477884571"/>
      <w:bookmarkStart w:id="4" w:name="_Toc477951031"/>
      <w:bookmarkStart w:id="5" w:name="_Toc477951398"/>
      <w:bookmarkStart w:id="6" w:name="_Toc477951449"/>
      <w:bookmarkStart w:id="7" w:name="_Toc477951454"/>
      <w:r>
        <w:t>Indicate to RAN4 that from RAN1 point of vie</w:t>
      </w:r>
      <w:r w:rsidR="00CA374C">
        <w:t>w, for Cat-M1 UE supporting frequency domain CRS muting, no CRS margin outside a 6-PRB narrowband is necessary</w:t>
      </w:r>
      <w:r>
        <w:t>.</w:t>
      </w:r>
      <w:bookmarkEnd w:id="2"/>
      <w:bookmarkEnd w:id="3"/>
      <w:bookmarkEnd w:id="4"/>
      <w:bookmarkEnd w:id="5"/>
      <w:bookmarkEnd w:id="6"/>
      <w:bookmarkEnd w:id="7"/>
    </w:p>
    <w:p w14:paraId="78622424" w14:textId="03106243" w:rsidR="00CA374C" w:rsidRDefault="00CA374C" w:rsidP="00CA374C">
      <w:pPr>
        <w:pStyle w:val="Proposal"/>
      </w:pPr>
      <w:bookmarkStart w:id="8" w:name="_Toc477882475"/>
      <w:bookmarkStart w:id="9" w:name="_Toc477884572"/>
      <w:bookmarkStart w:id="10" w:name="_Toc477951032"/>
      <w:bookmarkStart w:id="11" w:name="_Toc477951399"/>
      <w:bookmarkStart w:id="12" w:name="_Toc477951450"/>
      <w:bookmarkStart w:id="13" w:name="_Toc477951455"/>
      <w:r>
        <w:t>Indicate to RAN4 that from RAN1 point of view, for Cat-M2 UE supporting frequency domain CRS muting, no CRS margin outside a 25-PRB wideband is necessary.</w:t>
      </w:r>
      <w:bookmarkEnd w:id="8"/>
      <w:bookmarkEnd w:id="9"/>
      <w:bookmarkEnd w:id="10"/>
      <w:bookmarkEnd w:id="11"/>
      <w:bookmarkEnd w:id="12"/>
      <w:bookmarkEnd w:id="13"/>
    </w:p>
    <w:p w14:paraId="0EFAF320" w14:textId="30CC03E4" w:rsidR="00FB3812" w:rsidRDefault="00FB3812" w:rsidP="00FB3812">
      <w:pPr>
        <w:pStyle w:val="Proposal"/>
        <w:numPr>
          <w:ilvl w:val="0"/>
          <w:numId w:val="0"/>
        </w:numPr>
        <w:ind w:left="1701" w:hanging="1701"/>
      </w:pPr>
    </w:p>
    <w:p w14:paraId="5F978503" w14:textId="56516E25" w:rsidR="006E03E4" w:rsidRDefault="00FB3812" w:rsidP="006E03E4">
      <w:pPr>
        <w:pStyle w:val="BodyText"/>
      </w:pPr>
      <w:r>
        <w:t xml:space="preserve">An example of frequency domain CRS muting for BL UEs is shown in </w:t>
      </w:r>
      <w:r>
        <w:fldChar w:fldCharType="begin"/>
      </w:r>
      <w:r>
        <w:instrText xml:space="preserve"> REF _Ref477951365 \h </w:instrText>
      </w:r>
      <w:r>
        <w:fldChar w:fldCharType="separate"/>
      </w:r>
      <w:r w:rsidR="006E03E4" w:rsidRPr="00CE0424">
        <w:t xml:space="preserve">Figure </w:t>
      </w:r>
      <w:r w:rsidR="006E03E4">
        <w:rPr>
          <w:noProof/>
        </w:rPr>
        <w:t>1</w:t>
      </w:r>
      <w:r>
        <w:fldChar w:fldCharType="end"/>
      </w:r>
      <w:r>
        <w:t>.</w:t>
      </w:r>
      <w:r w:rsidR="006E03E4">
        <w:t xml:space="preserve"> The WI objective only covers BL UEs, i.e. Cat-M UEs, but we would be open to also allow non-BL UEs in CE mode to support the feature.</w:t>
      </w:r>
    </w:p>
    <w:p w14:paraId="52D6C03F" w14:textId="77777777" w:rsidR="006E03E4" w:rsidRDefault="006E03E4" w:rsidP="006E03E4">
      <w:pPr>
        <w:pStyle w:val="BodyText"/>
      </w:pPr>
    </w:p>
    <w:p w14:paraId="139A09E8" w14:textId="77777777" w:rsidR="006E03E4" w:rsidRDefault="006E03E4" w:rsidP="006E03E4">
      <w:pPr>
        <w:pStyle w:val="Observation"/>
      </w:pPr>
      <w:bookmarkStart w:id="14" w:name="_Toc477882472"/>
      <w:bookmarkStart w:id="15" w:name="_Toc477884568"/>
      <w:bookmarkStart w:id="16" w:name="_Toc477951029"/>
      <w:bookmarkStart w:id="17" w:name="_Toc477951396"/>
      <w:bookmarkStart w:id="18" w:name="_Toc477951447"/>
      <w:bookmarkStart w:id="19" w:name="_Toc477951452"/>
      <w:bookmarkStart w:id="20" w:name="_Toc347823812"/>
      <w:bookmarkStart w:id="21" w:name="_Toc347823993"/>
      <w:bookmarkStart w:id="22" w:name="_Toc347824244"/>
      <w:r>
        <w:t>Frequency domain CRS muting will be an optional feature for BL UEs according to the WID.</w:t>
      </w:r>
      <w:bookmarkEnd w:id="14"/>
      <w:bookmarkEnd w:id="15"/>
      <w:bookmarkEnd w:id="16"/>
      <w:bookmarkEnd w:id="17"/>
      <w:bookmarkEnd w:id="18"/>
      <w:bookmarkEnd w:id="19"/>
    </w:p>
    <w:p w14:paraId="177AB4AB" w14:textId="77777777" w:rsidR="006E03E4" w:rsidRDefault="006E03E4" w:rsidP="006E03E4">
      <w:pPr>
        <w:pStyle w:val="Observation"/>
      </w:pPr>
      <w:bookmarkStart w:id="23" w:name="_Toc477882473"/>
      <w:bookmarkStart w:id="24" w:name="_Toc477884569"/>
      <w:bookmarkStart w:id="25" w:name="_Toc477951030"/>
      <w:bookmarkStart w:id="26" w:name="_Toc477951397"/>
      <w:bookmarkStart w:id="27" w:name="_Toc477951448"/>
      <w:bookmarkStart w:id="28" w:name="_Toc477951453"/>
      <w:r>
        <w:t>Frequency domain CRS muting could also be an optional feature for non-BL UEs configured with CE mode.</w:t>
      </w:r>
      <w:bookmarkEnd w:id="20"/>
      <w:bookmarkEnd w:id="21"/>
      <w:bookmarkEnd w:id="22"/>
      <w:bookmarkEnd w:id="23"/>
      <w:bookmarkEnd w:id="24"/>
      <w:bookmarkEnd w:id="25"/>
      <w:bookmarkEnd w:id="26"/>
      <w:bookmarkEnd w:id="27"/>
      <w:bookmarkEnd w:id="28"/>
    </w:p>
    <w:p w14:paraId="45527E51" w14:textId="77777777" w:rsidR="003139FB" w:rsidRPr="003139FB" w:rsidRDefault="003139FB" w:rsidP="003139FB">
      <w:pPr>
        <w:pStyle w:val="BodyText"/>
      </w:pPr>
    </w:p>
    <w:p w14:paraId="452DCC4A" w14:textId="527C8E3E" w:rsidR="002465B8" w:rsidRDefault="00FB3812" w:rsidP="003139FB">
      <w:pPr>
        <w:pStyle w:val="BodyText"/>
      </w:pPr>
      <w:r>
        <w:object w:dxaOrig="9855" w:dyaOrig="5986" w14:anchorId="0F69B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99.25pt" o:ole="">
            <v:imagedata r:id="rId14" o:title=""/>
          </v:shape>
          <o:OLEObject Type="Embed" ProgID="Visio.Drawing.15" ShapeID="_x0000_i1025" DrawAspect="Content" ObjectID="_1551887638" r:id="rId15"/>
        </w:object>
      </w:r>
    </w:p>
    <w:p w14:paraId="5D36BBF2" w14:textId="77777777" w:rsidR="002465B8" w:rsidRDefault="002465B8" w:rsidP="003139FB">
      <w:pPr>
        <w:pStyle w:val="BodyText"/>
      </w:pPr>
    </w:p>
    <w:p w14:paraId="2A217841" w14:textId="68267BE0" w:rsidR="002465B8" w:rsidRPr="00CE0424" w:rsidRDefault="002465B8" w:rsidP="002465B8">
      <w:pPr>
        <w:pStyle w:val="Caption"/>
      </w:pPr>
      <w:bookmarkStart w:id="29" w:name="_Ref477951365"/>
      <w:r w:rsidRPr="00CE0424">
        <w:t xml:space="preserve">Figure </w:t>
      </w:r>
      <w:r w:rsidRPr="00CE0424">
        <w:fldChar w:fldCharType="begin"/>
      </w:r>
      <w:r w:rsidRPr="00CE0424">
        <w:instrText xml:space="preserve"> SEQ Figure \* ARABIC </w:instrText>
      </w:r>
      <w:r w:rsidRPr="00CE0424">
        <w:fldChar w:fldCharType="separate"/>
      </w:r>
      <w:r w:rsidR="006E03E4">
        <w:rPr>
          <w:noProof/>
        </w:rPr>
        <w:t>1</w:t>
      </w:r>
      <w:r w:rsidRPr="00CE0424">
        <w:fldChar w:fldCharType="end"/>
      </w:r>
      <w:bookmarkEnd w:id="29"/>
      <w:r>
        <w:t>: Example of frequency domain CRS muting</w:t>
      </w:r>
      <w:r w:rsidR="00E071D2">
        <w:t xml:space="preserve"> for BL UEs</w:t>
      </w:r>
    </w:p>
    <w:p w14:paraId="2C1B6BD4" w14:textId="77777777" w:rsidR="00C01F33" w:rsidRPr="00CE0424" w:rsidRDefault="00C01F33" w:rsidP="00CE0424">
      <w:pPr>
        <w:pStyle w:val="Heading1"/>
      </w:pPr>
      <w:r w:rsidRPr="00CE0424">
        <w:t>Conclusion</w:t>
      </w:r>
    </w:p>
    <w:p w14:paraId="52842E01" w14:textId="77777777" w:rsidR="006E03E4" w:rsidRDefault="00155D4F" w:rsidP="008E065E">
      <w:pPr>
        <w:pStyle w:val="BodyText"/>
        <w:rPr>
          <w:noProof/>
        </w:rPr>
      </w:pPr>
      <w:r>
        <w:t>We</w:t>
      </w:r>
      <w:r w:rsidR="008E065E" w:rsidRPr="00CE0424">
        <w:t xml:space="preserv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33E5C1F8" w14:textId="77777777" w:rsidR="006E03E4" w:rsidRPr="006E03E4" w:rsidRDefault="006E03E4">
      <w:pPr>
        <w:pStyle w:val="TOC1"/>
        <w:rPr>
          <w:rFonts w:asciiTheme="minorHAnsi" w:eastAsiaTheme="minorEastAsia" w:hAnsiTheme="minorHAnsi" w:cstheme="minorBidi"/>
          <w:b w:val="0"/>
          <w:sz w:val="22"/>
          <w:lang w:eastAsia="sv-SE"/>
        </w:rPr>
      </w:pPr>
      <w:r>
        <w:t>Proposal 1</w:t>
      </w:r>
      <w:r w:rsidRPr="006E03E4">
        <w:rPr>
          <w:rFonts w:asciiTheme="minorHAnsi" w:eastAsiaTheme="minorEastAsia" w:hAnsiTheme="minorHAnsi" w:cstheme="minorBidi"/>
          <w:b w:val="0"/>
          <w:sz w:val="22"/>
          <w:lang w:eastAsia="sv-SE"/>
        </w:rPr>
        <w:tab/>
      </w:r>
      <w:r>
        <w:t>Indicate to RAN4 that from RAN1 point of view, for Cat-M1 UE supporting frequency domain CRS muting, no CRS margin outside a 6-PRB narrowband is necessary.</w:t>
      </w:r>
    </w:p>
    <w:p w14:paraId="104F0643" w14:textId="77777777" w:rsidR="006E03E4" w:rsidRPr="006E03E4" w:rsidRDefault="006E03E4">
      <w:pPr>
        <w:pStyle w:val="TOC1"/>
        <w:rPr>
          <w:rFonts w:asciiTheme="minorHAnsi" w:eastAsiaTheme="minorEastAsia" w:hAnsiTheme="minorHAnsi" w:cstheme="minorBidi"/>
          <w:b w:val="0"/>
          <w:sz w:val="22"/>
          <w:lang w:eastAsia="sv-SE"/>
        </w:rPr>
      </w:pPr>
      <w:r>
        <w:t>Proposal 2</w:t>
      </w:r>
      <w:r w:rsidRPr="006E03E4">
        <w:rPr>
          <w:rFonts w:asciiTheme="minorHAnsi" w:eastAsiaTheme="minorEastAsia" w:hAnsiTheme="minorHAnsi" w:cstheme="minorBidi"/>
          <w:b w:val="0"/>
          <w:sz w:val="22"/>
          <w:lang w:eastAsia="sv-SE"/>
        </w:rPr>
        <w:tab/>
      </w:r>
      <w:r>
        <w:t>Indicate to RAN4 that from RAN1 point of view, for Cat-M2 UE supporting frequency domain CRS muting, no CRS margin outside a 25-PRB wideband is necessary.</w:t>
      </w:r>
    </w:p>
    <w:p w14:paraId="70967945" w14:textId="1EB04870" w:rsidR="00C01F33" w:rsidRDefault="008E065E" w:rsidP="006E062C">
      <w:pPr>
        <w:rPr>
          <w:b/>
          <w:bCs/>
        </w:rPr>
      </w:pPr>
      <w:r>
        <w:rPr>
          <w:b/>
          <w:bCs/>
        </w:rPr>
        <w:fldChar w:fldCharType="end"/>
      </w:r>
    </w:p>
    <w:p w14:paraId="4B745514" w14:textId="77777777" w:rsidR="006E03E4" w:rsidRDefault="006E03E4" w:rsidP="006E03E4">
      <w:pPr>
        <w:pStyle w:val="BodyText"/>
        <w:rPr>
          <w:noProof/>
        </w:rPr>
      </w:pPr>
      <w:r>
        <w:t>We</w:t>
      </w:r>
      <w:r w:rsidRPr="00CE0424">
        <w:t xml:space="preserv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8F0B635" w14:textId="77777777" w:rsidR="006E03E4" w:rsidRPr="006E03E4" w:rsidRDefault="006E03E4" w:rsidP="006E03E4">
      <w:pPr>
        <w:pStyle w:val="TOC1"/>
        <w:rPr>
          <w:rFonts w:asciiTheme="minorHAnsi" w:eastAsiaTheme="minorEastAsia" w:hAnsiTheme="minorHAnsi" w:cstheme="minorBidi"/>
          <w:b w:val="0"/>
          <w:sz w:val="22"/>
          <w:lang w:eastAsia="sv-SE"/>
        </w:rPr>
      </w:pPr>
      <w:r>
        <w:lastRenderedPageBreak/>
        <w:t>Observation 1</w:t>
      </w:r>
      <w:r w:rsidRPr="006E03E4">
        <w:rPr>
          <w:rFonts w:asciiTheme="minorHAnsi" w:eastAsiaTheme="minorEastAsia" w:hAnsiTheme="minorHAnsi" w:cstheme="minorBidi"/>
          <w:b w:val="0"/>
          <w:sz w:val="22"/>
          <w:lang w:eastAsia="sv-SE"/>
        </w:rPr>
        <w:tab/>
      </w:r>
      <w:r>
        <w:t>Frequency domain CRS muting will be an optional feature for BL UEs according to the WID.</w:t>
      </w:r>
    </w:p>
    <w:p w14:paraId="558AF634" w14:textId="77777777" w:rsidR="006E03E4" w:rsidRPr="006E03E4" w:rsidRDefault="006E03E4" w:rsidP="006E03E4">
      <w:pPr>
        <w:pStyle w:val="TOC1"/>
        <w:rPr>
          <w:rFonts w:asciiTheme="minorHAnsi" w:eastAsiaTheme="minorEastAsia" w:hAnsiTheme="minorHAnsi" w:cstheme="minorBidi"/>
          <w:b w:val="0"/>
          <w:sz w:val="22"/>
          <w:lang w:eastAsia="sv-SE"/>
        </w:rPr>
      </w:pPr>
      <w:r>
        <w:t>Observation 2</w:t>
      </w:r>
      <w:r w:rsidRPr="006E03E4">
        <w:rPr>
          <w:rFonts w:asciiTheme="minorHAnsi" w:eastAsiaTheme="minorEastAsia" w:hAnsiTheme="minorHAnsi" w:cstheme="minorBidi"/>
          <w:b w:val="0"/>
          <w:sz w:val="22"/>
          <w:lang w:eastAsia="sv-SE"/>
        </w:rPr>
        <w:tab/>
      </w:r>
      <w:r>
        <w:t>Frequency domain CRS muting could also be an optional feature for non-BL UEs configured with CE mode.</w:t>
      </w:r>
    </w:p>
    <w:p w14:paraId="4F1418C2" w14:textId="77777777" w:rsidR="006E03E4" w:rsidRDefault="006E03E4" w:rsidP="006E03E4">
      <w:pPr>
        <w:pStyle w:val="BodyText"/>
        <w:rPr>
          <w:b/>
          <w:bCs/>
        </w:rPr>
      </w:pPr>
      <w:r>
        <w:rPr>
          <w:b/>
          <w:bCs/>
        </w:rPr>
        <w:fldChar w:fldCharType="end"/>
      </w:r>
    </w:p>
    <w:p w14:paraId="57B73A36" w14:textId="77777777" w:rsidR="00F507D1" w:rsidRPr="00C048C0" w:rsidRDefault="00F507D1" w:rsidP="00CE0424">
      <w:pPr>
        <w:pStyle w:val="Heading1"/>
      </w:pPr>
      <w:bookmarkStart w:id="30" w:name="_In-sequence_SDU_delivery"/>
      <w:bookmarkEnd w:id="30"/>
      <w:r w:rsidRPr="00CE0424">
        <w:t>Refere</w:t>
      </w:r>
      <w:r w:rsidRPr="00C048C0">
        <w:t>nces</w:t>
      </w:r>
    </w:p>
    <w:bookmarkStart w:id="31" w:name="_Ref449678105"/>
    <w:bookmarkStart w:id="32" w:name="_Ref453835673"/>
    <w:bookmarkStart w:id="33" w:name="_Ref174151459"/>
    <w:bookmarkStart w:id="34" w:name="_Ref189809556"/>
    <w:p w14:paraId="5BFA2ACA" w14:textId="300C3ED9" w:rsidR="00C048C0" w:rsidRDefault="00C048C0" w:rsidP="00C048C0">
      <w:pPr>
        <w:pStyle w:val="Reference"/>
        <w:numPr>
          <w:ilvl w:val="0"/>
          <w:numId w:val="15"/>
        </w:numPr>
        <w:textAlignment w:val="auto"/>
      </w:pPr>
      <w:r w:rsidRPr="00C048C0">
        <w:rPr>
          <w:iCs/>
        </w:rPr>
        <w:fldChar w:fldCharType="begin"/>
      </w:r>
      <w:r w:rsidRPr="00C048C0">
        <w:rPr>
          <w:iCs/>
        </w:rPr>
        <w:instrText>HYPERLINK "http://www.3gpp.org/ftp/tsg_ran/TSG_RAN/TSGR_75/Docs/RP-170732.zip"</w:instrText>
      </w:r>
      <w:r w:rsidRPr="00C048C0">
        <w:rPr>
          <w:iCs/>
        </w:rPr>
        <w:fldChar w:fldCharType="separate"/>
      </w:r>
      <w:r w:rsidRPr="00C048C0">
        <w:rPr>
          <w:rFonts w:eastAsia="MS Mincho" w:hint="eastAsia"/>
          <w:iCs/>
          <w:color w:val="0000FF"/>
          <w:u w:val="single"/>
          <w:lang w:eastAsia="ja-JP"/>
        </w:rPr>
        <w:t>RP-170732</w:t>
      </w:r>
      <w:r w:rsidRPr="00C048C0">
        <w:rPr>
          <w:iCs/>
        </w:rPr>
        <w:fldChar w:fldCharType="end"/>
      </w:r>
      <w:r w:rsidR="00B97752">
        <w:t xml:space="preserve">, </w:t>
      </w:r>
      <w:r>
        <w:t>“</w:t>
      </w:r>
      <w:r w:rsidR="00B97752">
        <w:t>New</w:t>
      </w:r>
      <w:bookmarkEnd w:id="31"/>
      <w:bookmarkEnd w:id="32"/>
      <w:r>
        <w:t xml:space="preserve"> WID on Even further enhanced MTC for LTE”</w:t>
      </w:r>
      <w:bookmarkEnd w:id="33"/>
      <w:bookmarkEnd w:id="34"/>
      <w:r w:rsidR="000C453C">
        <w:t>, RAN#75, March 2017.</w:t>
      </w:r>
    </w:p>
    <w:p w14:paraId="04C3F0FE" w14:textId="2C38EC94" w:rsidR="00C154D7" w:rsidRDefault="00AF6D73" w:rsidP="00C154D7">
      <w:pPr>
        <w:pStyle w:val="Reference"/>
        <w:numPr>
          <w:ilvl w:val="0"/>
          <w:numId w:val="15"/>
        </w:numPr>
        <w:textAlignment w:val="auto"/>
      </w:pPr>
      <w:hyperlink r:id="rId16" w:history="1">
        <w:bookmarkStart w:id="35" w:name="_Ref477881096"/>
        <w:r w:rsidR="00C154D7" w:rsidRPr="001271B2">
          <w:rPr>
            <w:rStyle w:val="Hyperlink"/>
          </w:rPr>
          <w:t>https://www.ericsson.com/networks/offerings/lean-carrier</w:t>
        </w:r>
        <w:bookmarkEnd w:id="35"/>
      </w:hyperlink>
    </w:p>
    <w:p w14:paraId="356A4AB9" w14:textId="1ED8C3AF" w:rsidR="00C154D7" w:rsidRDefault="00AF6D73" w:rsidP="00C154D7">
      <w:pPr>
        <w:pStyle w:val="Reference"/>
        <w:numPr>
          <w:ilvl w:val="0"/>
          <w:numId w:val="15"/>
        </w:numPr>
        <w:textAlignment w:val="auto"/>
      </w:pPr>
      <w:hyperlink r:id="rId17" w:history="1">
        <w:bookmarkStart w:id="36" w:name="_Ref477881098"/>
        <w:r w:rsidR="00C154D7" w:rsidRPr="001271B2">
          <w:rPr>
            <w:rStyle w:val="Hyperlink"/>
          </w:rPr>
          <w:t>https://www.ericsson.com/ourportfolio/telecom-operators/lean-carrier</w:t>
        </w:r>
        <w:bookmarkEnd w:id="36"/>
      </w:hyperlink>
    </w:p>
    <w:p w14:paraId="63786704" w14:textId="7CD7C2D9" w:rsidR="00C154D7" w:rsidRDefault="00AF6D73" w:rsidP="00C154D7">
      <w:pPr>
        <w:pStyle w:val="Reference"/>
        <w:numPr>
          <w:ilvl w:val="0"/>
          <w:numId w:val="15"/>
        </w:numPr>
        <w:textAlignment w:val="auto"/>
      </w:pPr>
      <w:hyperlink r:id="rId18" w:history="1">
        <w:bookmarkStart w:id="37" w:name="_Ref477881099"/>
        <w:r w:rsidR="00C154D7" w:rsidRPr="001271B2">
          <w:rPr>
            <w:rStyle w:val="Hyperlink"/>
          </w:rPr>
          <w:t>https://www.ericsson.com/news/2023717</w:t>
        </w:r>
        <w:bookmarkEnd w:id="37"/>
      </w:hyperlink>
    </w:p>
    <w:p w14:paraId="0360190F" w14:textId="138B37C5" w:rsidR="00C154D7" w:rsidRPr="00CE0424" w:rsidRDefault="00C154D7" w:rsidP="00C154D7">
      <w:pPr>
        <w:pStyle w:val="Reference"/>
        <w:numPr>
          <w:ilvl w:val="0"/>
          <w:numId w:val="0"/>
        </w:numPr>
        <w:textAlignment w:val="auto"/>
      </w:pPr>
    </w:p>
    <w:sectPr w:rsidR="00C154D7"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A7AB5" w14:textId="77777777" w:rsidR="00AF6D73" w:rsidRDefault="00AF6D73">
      <w:r>
        <w:separator/>
      </w:r>
    </w:p>
  </w:endnote>
  <w:endnote w:type="continuationSeparator" w:id="0">
    <w:p w14:paraId="4C0FF5E5" w14:textId="77777777" w:rsidR="00AF6D73" w:rsidRDefault="00AF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C3ADA8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773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773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9406E" w14:textId="77777777" w:rsidR="00AF6D73" w:rsidRDefault="00AF6D73">
      <w:r>
        <w:separator/>
      </w:r>
    </w:p>
  </w:footnote>
  <w:footnote w:type="continuationSeparator" w:id="0">
    <w:p w14:paraId="502E391C" w14:textId="77777777" w:rsidR="00AF6D73" w:rsidRDefault="00AF6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43CF7"/>
    <w:multiLevelType w:val="hybridMultilevel"/>
    <w:tmpl w:val="9F667B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57A3"/>
    <w:rsid w:val="00036BA1"/>
    <w:rsid w:val="00036E27"/>
    <w:rsid w:val="000422E2"/>
    <w:rsid w:val="00042F22"/>
    <w:rsid w:val="000444EF"/>
    <w:rsid w:val="00052A07"/>
    <w:rsid w:val="000534E3"/>
    <w:rsid w:val="0005606A"/>
    <w:rsid w:val="00057117"/>
    <w:rsid w:val="000616E7"/>
    <w:rsid w:val="00063FCF"/>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53C"/>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55D4F"/>
    <w:rsid w:val="001659C1"/>
    <w:rsid w:val="00173A8E"/>
    <w:rsid w:val="00177795"/>
    <w:rsid w:val="0018143F"/>
    <w:rsid w:val="00190AC1"/>
    <w:rsid w:val="0019341A"/>
    <w:rsid w:val="00197DF9"/>
    <w:rsid w:val="001A1987"/>
    <w:rsid w:val="001A2564"/>
    <w:rsid w:val="001A2BF5"/>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5B8"/>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9FB"/>
    <w:rsid w:val="00313FD6"/>
    <w:rsid w:val="003143BD"/>
    <w:rsid w:val="003203ED"/>
    <w:rsid w:val="00322C9F"/>
    <w:rsid w:val="00324D23"/>
    <w:rsid w:val="003314F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2D9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6972"/>
    <w:rsid w:val="00492BC5"/>
    <w:rsid w:val="004964F1"/>
    <w:rsid w:val="004A16BC"/>
    <w:rsid w:val="004A2B94"/>
    <w:rsid w:val="004B7C0C"/>
    <w:rsid w:val="004C3898"/>
    <w:rsid w:val="004D305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E69"/>
    <w:rsid w:val="005116F9"/>
    <w:rsid w:val="005153A7"/>
    <w:rsid w:val="005219CF"/>
    <w:rsid w:val="00534B59"/>
    <w:rsid w:val="00536759"/>
    <w:rsid w:val="00537C62"/>
    <w:rsid w:val="005403A8"/>
    <w:rsid w:val="00546970"/>
    <w:rsid w:val="00547F4D"/>
    <w:rsid w:val="00550419"/>
    <w:rsid w:val="00554E19"/>
    <w:rsid w:val="0056121F"/>
    <w:rsid w:val="00572505"/>
    <w:rsid w:val="005730DC"/>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71CB"/>
    <w:rsid w:val="005E385F"/>
    <w:rsid w:val="005E5B81"/>
    <w:rsid w:val="005F2CB1"/>
    <w:rsid w:val="005F3025"/>
    <w:rsid w:val="005F618C"/>
    <w:rsid w:val="005F70BD"/>
    <w:rsid w:val="0060283C"/>
    <w:rsid w:val="00604F14"/>
    <w:rsid w:val="00611B83"/>
    <w:rsid w:val="00613257"/>
    <w:rsid w:val="006160F1"/>
    <w:rsid w:val="00620A71"/>
    <w:rsid w:val="00620D80"/>
    <w:rsid w:val="006212A9"/>
    <w:rsid w:val="006234A6"/>
    <w:rsid w:val="00630001"/>
    <w:rsid w:val="006311B3"/>
    <w:rsid w:val="00631CBC"/>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0A0"/>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428"/>
    <w:rsid w:val="006D6F08"/>
    <w:rsid w:val="006E03E4"/>
    <w:rsid w:val="006E062C"/>
    <w:rsid w:val="006E28B7"/>
    <w:rsid w:val="006E3310"/>
    <w:rsid w:val="006E4E39"/>
    <w:rsid w:val="006E565E"/>
    <w:rsid w:val="006E673D"/>
    <w:rsid w:val="006E7D3B"/>
    <w:rsid w:val="006F1B70"/>
    <w:rsid w:val="006F341D"/>
    <w:rsid w:val="006F3CDE"/>
    <w:rsid w:val="006F58D4"/>
    <w:rsid w:val="0070346E"/>
    <w:rsid w:val="00703DB4"/>
    <w:rsid w:val="00704EDB"/>
    <w:rsid w:val="00706101"/>
    <w:rsid w:val="00707072"/>
    <w:rsid w:val="00707D61"/>
    <w:rsid w:val="00712287"/>
    <w:rsid w:val="00712772"/>
    <w:rsid w:val="007148D3"/>
    <w:rsid w:val="00715B9A"/>
    <w:rsid w:val="00724D3B"/>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2C75"/>
    <w:rsid w:val="0078304C"/>
    <w:rsid w:val="00783673"/>
    <w:rsid w:val="00785490"/>
    <w:rsid w:val="007925EA"/>
    <w:rsid w:val="00793CD8"/>
    <w:rsid w:val="00795C92"/>
    <w:rsid w:val="00796231"/>
    <w:rsid w:val="007A1CB3"/>
    <w:rsid w:val="007A306F"/>
    <w:rsid w:val="007A43A6"/>
    <w:rsid w:val="007A58A6"/>
    <w:rsid w:val="007A6E5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FE8"/>
    <w:rsid w:val="00803E6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6D3"/>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F61"/>
    <w:rsid w:val="00971F08"/>
    <w:rsid w:val="00974257"/>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696"/>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650C"/>
    <w:rsid w:val="00A17F63"/>
    <w:rsid w:val="00A2193B"/>
    <w:rsid w:val="00A2351A"/>
    <w:rsid w:val="00A264A9"/>
    <w:rsid w:val="00A27785"/>
    <w:rsid w:val="00A30187"/>
    <w:rsid w:val="00A32324"/>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AF6D73"/>
    <w:rsid w:val="00B006FE"/>
    <w:rsid w:val="00B007CB"/>
    <w:rsid w:val="00B02AA9"/>
    <w:rsid w:val="00B02FA3"/>
    <w:rsid w:val="00B05084"/>
    <w:rsid w:val="00B157F9"/>
    <w:rsid w:val="00B20256"/>
    <w:rsid w:val="00B20D09"/>
    <w:rsid w:val="00B2763F"/>
    <w:rsid w:val="00B27AAC"/>
    <w:rsid w:val="00B304F3"/>
    <w:rsid w:val="00B30929"/>
    <w:rsid w:val="00B33284"/>
    <w:rsid w:val="00B372AA"/>
    <w:rsid w:val="00B40445"/>
    <w:rsid w:val="00B40BEF"/>
    <w:rsid w:val="00B41888"/>
    <w:rsid w:val="00B45A52"/>
    <w:rsid w:val="00B46175"/>
    <w:rsid w:val="00B6188F"/>
    <w:rsid w:val="00B664C7"/>
    <w:rsid w:val="00B739F6"/>
    <w:rsid w:val="00B81A6C"/>
    <w:rsid w:val="00B85DE5"/>
    <w:rsid w:val="00B868CA"/>
    <w:rsid w:val="00B90F73"/>
    <w:rsid w:val="00B93B59"/>
    <w:rsid w:val="00B9406A"/>
    <w:rsid w:val="00B97752"/>
    <w:rsid w:val="00BA2280"/>
    <w:rsid w:val="00BA2A08"/>
    <w:rsid w:val="00BA34DB"/>
    <w:rsid w:val="00BA56D2"/>
    <w:rsid w:val="00BA76E0"/>
    <w:rsid w:val="00BB2A25"/>
    <w:rsid w:val="00BB51E9"/>
    <w:rsid w:val="00BC0FDC"/>
    <w:rsid w:val="00BC3053"/>
    <w:rsid w:val="00BC4D2E"/>
    <w:rsid w:val="00BD48AC"/>
    <w:rsid w:val="00BD5F1A"/>
    <w:rsid w:val="00BE1234"/>
    <w:rsid w:val="00BE1A46"/>
    <w:rsid w:val="00BE2FA6"/>
    <w:rsid w:val="00BE333F"/>
    <w:rsid w:val="00BE7406"/>
    <w:rsid w:val="00BE7603"/>
    <w:rsid w:val="00BF3279"/>
    <w:rsid w:val="00BF32AD"/>
    <w:rsid w:val="00BF74C7"/>
    <w:rsid w:val="00C015F1"/>
    <w:rsid w:val="00C01F33"/>
    <w:rsid w:val="00C02CC6"/>
    <w:rsid w:val="00C040F7"/>
    <w:rsid w:val="00C041B0"/>
    <w:rsid w:val="00C044AB"/>
    <w:rsid w:val="00C048C0"/>
    <w:rsid w:val="00C05706"/>
    <w:rsid w:val="00C07377"/>
    <w:rsid w:val="00C10478"/>
    <w:rsid w:val="00C12107"/>
    <w:rsid w:val="00C1254D"/>
    <w:rsid w:val="00C14D4B"/>
    <w:rsid w:val="00C154BB"/>
    <w:rsid w:val="00C154D7"/>
    <w:rsid w:val="00C279B5"/>
    <w:rsid w:val="00C27C45"/>
    <w:rsid w:val="00C3719D"/>
    <w:rsid w:val="00C40CC7"/>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74C"/>
    <w:rsid w:val="00CB1F63"/>
    <w:rsid w:val="00CB7170"/>
    <w:rsid w:val="00CC040E"/>
    <w:rsid w:val="00CC111F"/>
    <w:rsid w:val="00CC2011"/>
    <w:rsid w:val="00CC3EA0"/>
    <w:rsid w:val="00CC7B45"/>
    <w:rsid w:val="00CD1188"/>
    <w:rsid w:val="00CD2ED1"/>
    <w:rsid w:val="00CD337B"/>
    <w:rsid w:val="00CE0424"/>
    <w:rsid w:val="00CE454F"/>
    <w:rsid w:val="00CE7561"/>
    <w:rsid w:val="00CF1354"/>
    <w:rsid w:val="00CF3B1F"/>
    <w:rsid w:val="00CF3BF6"/>
    <w:rsid w:val="00CF625B"/>
    <w:rsid w:val="00CF687E"/>
    <w:rsid w:val="00D0349B"/>
    <w:rsid w:val="00D10249"/>
    <w:rsid w:val="00D115C3"/>
    <w:rsid w:val="00D11897"/>
    <w:rsid w:val="00D13135"/>
    <w:rsid w:val="00D13E4E"/>
    <w:rsid w:val="00D23959"/>
    <w:rsid w:val="00D239A7"/>
    <w:rsid w:val="00D23F47"/>
    <w:rsid w:val="00D36E71"/>
    <w:rsid w:val="00D37D87"/>
    <w:rsid w:val="00D40B33"/>
    <w:rsid w:val="00D4318F"/>
    <w:rsid w:val="00D438BF"/>
    <w:rsid w:val="00D43C7F"/>
    <w:rsid w:val="00D440F8"/>
    <w:rsid w:val="00D50F97"/>
    <w:rsid w:val="00D5179F"/>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C0A"/>
    <w:rsid w:val="00DE5608"/>
    <w:rsid w:val="00DE58D0"/>
    <w:rsid w:val="00DE654F"/>
    <w:rsid w:val="00DF0B6E"/>
    <w:rsid w:val="00DF15E0"/>
    <w:rsid w:val="00DF37A0"/>
    <w:rsid w:val="00DF71A0"/>
    <w:rsid w:val="00E04C06"/>
    <w:rsid w:val="00E071D2"/>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2E5"/>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47738"/>
    <w:rsid w:val="00F507D1"/>
    <w:rsid w:val="00F519CE"/>
    <w:rsid w:val="00F51ADA"/>
    <w:rsid w:val="00F57A6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812"/>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036E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867480">
      <w:bodyDiv w:val="1"/>
      <w:marLeft w:val="0"/>
      <w:marRight w:val="0"/>
      <w:marTop w:val="0"/>
      <w:marBottom w:val="0"/>
      <w:divBdr>
        <w:top w:val="none" w:sz="0" w:space="0" w:color="auto"/>
        <w:left w:val="none" w:sz="0" w:space="0" w:color="auto"/>
        <w:bottom w:val="none" w:sz="0" w:space="0" w:color="auto"/>
        <w:right w:val="none" w:sz="0" w:space="0" w:color="auto"/>
      </w:divBdr>
    </w:div>
    <w:div w:id="1551109629">
      <w:bodyDiv w:val="1"/>
      <w:marLeft w:val="0"/>
      <w:marRight w:val="0"/>
      <w:marTop w:val="0"/>
      <w:marBottom w:val="0"/>
      <w:divBdr>
        <w:top w:val="none" w:sz="0" w:space="0" w:color="auto"/>
        <w:left w:val="none" w:sz="0" w:space="0" w:color="auto"/>
        <w:bottom w:val="none" w:sz="0" w:space="0" w:color="auto"/>
        <w:right w:val="none" w:sz="0" w:space="0" w:color="auto"/>
      </w:divBdr>
    </w:div>
    <w:div w:id="18998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ricsson.com/news/2023717"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ericsson.com/ourportfolio/telecom-operators/lean-carrier" TargetMode="External"/><Relationship Id="rId2" Type="http://schemas.openxmlformats.org/officeDocument/2006/relationships/customXml" Target="../customXml/item2.xml"/><Relationship Id="rId16" Type="http://schemas.openxmlformats.org/officeDocument/2006/relationships/hyperlink" Target="https://www.ericsson.com/networks/offerings/lean-carri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7E462AFF-47EB-418B-BFA1-E865E0C49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121</TotalTime>
  <Pages>3</Pages>
  <Words>718</Words>
  <Characters>3807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4516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Johan Bergman 2</cp:lastModifiedBy>
  <cp:revision>44</cp:revision>
  <cp:lastPrinted>2008-01-31T16:09:00Z</cp:lastPrinted>
  <dcterms:created xsi:type="dcterms:W3CDTF">2017-02-07T17:47:00Z</dcterms:created>
  <dcterms:modified xsi:type="dcterms:W3CDTF">2017-03-24T18:08:00Z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